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pPr>
      <w:r>
        <w:rPr>
          <w:rFonts w:ascii="Calibri" w:cs="Calibri" w:eastAsia="Calibri" w:hAnsi="Calibri"/>
          <w:b/>
          <w:bCs/>
          <w:color w:val="2F6D73"/>
          <w:spacing w:val="20"/>
          <w:sz w:val="16"/>
          <w:szCs w:val="16"/>
        </w:rPr>
        <w:t xml:space="preserve">QUINTESS PROPERTY LAW  ·  BUYER &amp; SELLER RESOURCE</w:t>
      </w:r>
    </w:p>
    <w:p>
      <w:pPr>
        <w:spacing w:after="160"/>
      </w:pPr>
      <w:r>
        <w:rPr>
          <w:rFonts w:ascii="Cormorant Garamond" w:cs="Cormorant Garamond" w:eastAsia="Cormorant Garamond" w:hAnsi="Cormorant Garamond"/>
          <w:color w:val="22303B"/>
          <w:sz w:val="52"/>
          <w:szCs w:val="52"/>
        </w:rPr>
        <w:t xml:space="preserve">The Settlement Checklist</w:t>
      </w:r>
    </w:p>
    <w:p>
      <w:pPr>
        <w:spacing w:after="280"/>
      </w:pPr>
      <w:r>
        <w:rPr>
          <w:rFonts w:ascii="Calibri" w:cs="Calibri" w:eastAsia="Calibri" w:hAnsi="Calibri"/>
          <w:color w:val="5D6A75"/>
          <w:sz w:val="24"/>
          <w:szCs w:val="24"/>
        </w:rPr>
        <w:t xml:space="preserve">Everything you need to prepare for a smooth, on-time settlement — without the last-minute scramble.</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none"/>
              <w:left w:val="single" w:color="C7B694" w:sz="18"/>
              <w:bottom w:val="none"/>
              <w:right w:val="none"/>
            </w:tcBorders>
            <w:shd w:fill="F5F7FA" w:val="clear"/>
            <w:tcMar>
              <w:top w:type="dxa" w:w="200"/>
              <w:left w:type="dxa" w:w="260"/>
              <w:bottom w:type="dxa" w:w="200"/>
              <w:right w:type="dxa" w:w="260"/>
            </w:tcMar>
          </w:tcPr>
          <w:p>
            <w:pPr>
              <w:spacing w:after="60"/>
            </w:pPr>
            <w:r>
              <w:rPr>
                <w:rFonts w:ascii="Calibri" w:cs="Calibri" w:eastAsia="Calibri" w:hAnsi="Calibri"/>
                <w:b/>
                <w:bCs/>
                <w:color w:val="2F6D73"/>
                <w:spacing w:val="16"/>
                <w:sz w:val="16"/>
                <w:szCs w:val="16"/>
              </w:rPr>
              <w:t xml:space="preserve">BEFORE YOU START</w:t>
            </w:r>
          </w:p>
          <w:p>
            <w:r>
              <w:rPr>
                <w:rFonts w:ascii="Calibri" w:cs="Calibri" w:eastAsia="Calibri" w:hAnsi="Calibri"/>
                <w:color w:val="1C1F24"/>
                <w:sz w:val="21"/>
                <w:szCs w:val="21"/>
              </w:rPr>
              <w:t xml:space="preserve">Settlement stress almost always starts weeks before settlement day, not on it. This checklist covers the general preparation steps for both buyers and sellers. Your own matter may have additional steps specific to your contract — we'll guide you through those directly.</w:t>
            </w:r>
          </w:p>
        </w:tc>
      </w:tr>
    </w:tbl>
    <w:p>
      <w:pPr>
        <w:spacing w:after="160"/>
      </w:pPr>
    </w:p>
    <w:p>
      <w:pPr>
        <w:spacing w:after="100" w:before="320"/>
      </w:pPr>
      <w:r>
        <w:rPr>
          <w:rFonts w:ascii="Calibri" w:cs="Calibri" w:eastAsia="Calibri" w:hAnsi="Calibri"/>
          <w:b/>
          <w:bCs/>
          <w:color w:val="C7B694"/>
          <w:spacing w:val="10"/>
          <w:sz w:val="18"/>
          <w:szCs w:val="18"/>
        </w:rPr>
        <w:t xml:space="preserve">01   </w:t>
      </w:r>
      <w:r>
        <w:rPr>
          <w:rFonts w:ascii="Cormorant Garamond" w:cs="Cormorant Garamond" w:eastAsia="Cormorant Garamond" w:hAnsi="Cormorant Garamond"/>
          <w:color w:val="22303B"/>
          <w:sz w:val="30"/>
          <w:szCs w:val="30"/>
        </w:rPr>
        <w:t xml:space="preserve">Six Weeks Before Settlement</w:t>
      </w:r>
    </w:p>
    <w:p>
      <w:pPr>
        <w:spacing w:after="160"/>
      </w:pPr>
      <w:r>
        <w:rPr>
          <w:rFonts w:ascii="Calibri" w:cs="Calibri" w:eastAsia="Calibri" w:hAnsi="Calibri"/>
          <w:color w:val="1C1F24"/>
          <w:sz w:val="22"/>
          <w:szCs w:val="22"/>
        </w:rPr>
        <w:t xml:space="preserve">This is the stage where the groundwork gets laid. Most of these steps don't need to be finished yet — they need to be started.</w:t>
      </w:r>
    </w:p>
    <w:p>
      <w:pPr>
        <w:pStyle w:val="ListParagraph"/>
        <w:numPr>
          <w:ilvl w:val="0"/>
          <w:numId w:val="2"/>
        </w:numPr>
        <w:spacing w:after="130"/>
      </w:pPr>
      <w:r>
        <w:rPr>
          <w:rFonts w:ascii="Calibri" w:cs="Calibri" w:eastAsia="Calibri" w:hAnsi="Calibri"/>
          <w:color w:val="1C1F24"/>
          <w:sz w:val="22"/>
          <w:szCs w:val="22"/>
        </w:rPr>
        <w:t xml:space="preserve">Confirm your settlement date with your conveyancer and (if buying) your lender.</w:t>
      </w:r>
    </w:p>
    <w:p>
      <w:pPr>
        <w:pStyle w:val="ListParagraph"/>
        <w:numPr>
          <w:ilvl w:val="0"/>
          <w:numId w:val="2"/>
        </w:numPr>
        <w:spacing w:after="130"/>
      </w:pPr>
      <w:r>
        <w:rPr>
          <w:rFonts w:ascii="Calibri" w:cs="Calibri" w:eastAsia="Calibri" w:hAnsi="Calibri"/>
          <w:color w:val="1C1F24"/>
          <w:sz w:val="22"/>
          <w:szCs w:val="22"/>
        </w:rPr>
        <w:t xml:space="preserve">If selling, begin organising any items that need to be removed from the property before handover.</w:t>
      </w:r>
    </w:p>
    <w:p>
      <w:pPr>
        <w:pStyle w:val="ListParagraph"/>
        <w:numPr>
          <w:ilvl w:val="0"/>
          <w:numId w:val="2"/>
        </w:numPr>
        <w:spacing w:after="130"/>
      </w:pPr>
      <w:r>
        <w:rPr>
          <w:rFonts w:ascii="Calibri" w:cs="Calibri" w:eastAsia="Calibri" w:hAnsi="Calibri"/>
          <w:color w:val="1C1F24"/>
          <w:sz w:val="22"/>
          <w:szCs w:val="22"/>
        </w:rPr>
        <w:t xml:space="preserve">If buying, confirm your loan is formally approved and ask your lender about their settlement process and timing.</w:t>
      </w:r>
    </w:p>
    <w:p>
      <w:pPr>
        <w:pStyle w:val="ListParagraph"/>
        <w:numPr>
          <w:ilvl w:val="0"/>
          <w:numId w:val="2"/>
        </w:numPr>
        <w:spacing w:after="130"/>
      </w:pPr>
      <w:r>
        <w:rPr>
          <w:rFonts w:ascii="Calibri" w:cs="Calibri" w:eastAsia="Calibri" w:hAnsi="Calibri"/>
          <w:color w:val="1C1F24"/>
          <w:sz w:val="22"/>
          <w:szCs w:val="22"/>
        </w:rPr>
        <w:t xml:space="preserve">Arrange building and contents insurance to begin from settlement day, if buying.</w:t>
      </w:r>
    </w:p>
    <w:p>
      <w:pPr>
        <w:spacing w:after="100" w:before="320"/>
      </w:pPr>
      <w:r>
        <w:rPr>
          <w:rFonts w:ascii="Calibri" w:cs="Calibri" w:eastAsia="Calibri" w:hAnsi="Calibri"/>
          <w:b/>
          <w:bCs/>
          <w:color w:val="C7B694"/>
          <w:spacing w:val="10"/>
          <w:sz w:val="18"/>
          <w:szCs w:val="18"/>
        </w:rPr>
        <w:t xml:space="preserve">02   </w:t>
      </w:r>
      <w:r>
        <w:rPr>
          <w:rFonts w:ascii="Cormorant Garamond" w:cs="Cormorant Garamond" w:eastAsia="Cormorant Garamond" w:hAnsi="Cormorant Garamond"/>
          <w:color w:val="22303B"/>
          <w:sz w:val="30"/>
          <w:szCs w:val="30"/>
        </w:rPr>
        <w:t xml:space="preserve">Two to Three Weeks Before Settlement</w:t>
      </w:r>
    </w:p>
    <w:p>
      <w:pPr>
        <w:spacing w:after="160"/>
      </w:pPr>
      <w:r>
        <w:rPr>
          <w:rFonts w:ascii="Calibri" w:cs="Calibri" w:eastAsia="Calibri" w:hAnsi="Calibri"/>
          <w:color w:val="1C1F24"/>
          <w:sz w:val="22"/>
          <w:szCs w:val="22"/>
        </w:rPr>
        <w:t xml:space="preserve">This is when the practical, money-related steps start to firm up.</w:t>
      </w:r>
    </w:p>
    <w:p>
      <w:pPr>
        <w:pStyle w:val="ListParagraph"/>
        <w:numPr>
          <w:ilvl w:val="0"/>
          <w:numId w:val="2"/>
        </w:numPr>
        <w:spacing w:after="130"/>
      </w:pPr>
      <w:r>
        <w:rPr>
          <w:rFonts w:ascii="Calibri" w:cs="Calibri" w:eastAsia="Calibri" w:hAnsi="Calibri"/>
          <w:color w:val="1C1F24"/>
          <w:sz w:val="22"/>
          <w:szCs w:val="22"/>
        </w:rPr>
        <w:t xml:space="preserve">Confirm your funds to complete (buyers) or expected proceeds (sellers) with your conveyancer.</w:t>
      </w:r>
    </w:p>
    <w:p>
      <w:pPr>
        <w:pStyle w:val="ListParagraph"/>
        <w:numPr>
          <w:ilvl w:val="0"/>
          <w:numId w:val="2"/>
        </w:numPr>
        <w:spacing w:after="130"/>
      </w:pPr>
      <w:r>
        <w:rPr>
          <w:rFonts w:ascii="Calibri" w:cs="Calibri" w:eastAsia="Calibri" w:hAnsi="Calibri"/>
          <w:color w:val="1C1F24"/>
          <w:sz w:val="22"/>
          <w:szCs w:val="22"/>
        </w:rPr>
        <w:t xml:space="preserve">Arrange for your bank to have cleared funds ready ahead of settlement day — last-minute transfers can cause delays.</w:t>
      </w:r>
    </w:p>
    <w:p>
      <w:pPr>
        <w:pStyle w:val="ListParagraph"/>
        <w:numPr>
          <w:ilvl w:val="0"/>
          <w:numId w:val="2"/>
        </w:numPr>
        <w:spacing w:after="130"/>
      </w:pPr>
      <w:r>
        <w:rPr>
          <w:rFonts w:ascii="Calibri" w:cs="Calibri" w:eastAsia="Calibri" w:hAnsi="Calibri"/>
          <w:color w:val="1C1F24"/>
          <w:sz w:val="22"/>
          <w:szCs w:val="22"/>
        </w:rPr>
        <w:t xml:space="preserve">If selling, redirect mail and arrange disconnection/transfer of utilities for your settlement date.</w:t>
      </w:r>
    </w:p>
    <w:p>
      <w:pPr>
        <w:pStyle w:val="ListParagraph"/>
        <w:numPr>
          <w:ilvl w:val="0"/>
          <w:numId w:val="2"/>
        </w:numPr>
        <w:spacing w:after="130"/>
      </w:pPr>
      <w:r>
        <w:rPr>
          <w:rFonts w:ascii="Calibri" w:cs="Calibri" w:eastAsia="Calibri" w:hAnsi="Calibri"/>
          <w:color w:val="1C1F24"/>
          <w:sz w:val="22"/>
          <w:szCs w:val="22"/>
        </w:rPr>
        <w:t xml:space="preserve">If buying, arrange connection of utilities to begin from your settlement date.</w:t>
      </w:r>
    </w:p>
    <w:p>
      <w:pPr>
        <w:spacing w:after="80"/>
      </w:pPr>
    </w:p>
    <w:p>
      <w:pPr>
        <w:spacing w:after="100" w:before="320"/>
      </w:pPr>
      <w:r>
        <w:rPr>
          <w:rFonts w:ascii="Calibri" w:cs="Calibri" w:eastAsia="Calibri" w:hAnsi="Calibri"/>
          <w:b/>
          <w:bCs/>
          <w:color w:val="C7B694"/>
          <w:spacing w:val="10"/>
          <w:sz w:val="18"/>
          <w:szCs w:val="18"/>
        </w:rPr>
        <w:t xml:space="preserve">03   </w:t>
      </w:r>
      <w:r>
        <w:rPr>
          <w:rFonts w:ascii="Cormorant Garamond" w:cs="Cormorant Garamond" w:eastAsia="Cormorant Garamond" w:hAnsi="Cormorant Garamond"/>
          <w:color w:val="22303B"/>
          <w:sz w:val="30"/>
          <w:szCs w:val="30"/>
        </w:rPr>
        <w:t xml:space="preserve">One Week Before Settlement</w:t>
      </w:r>
    </w:p>
    <w:p>
      <w:pPr>
        <w:spacing w:after="160"/>
      </w:pPr>
      <w:r>
        <w:rPr>
          <w:rFonts w:ascii="Calibri" w:cs="Calibri" w:eastAsia="Calibri" w:hAnsi="Calibri"/>
          <w:color w:val="1C1F24"/>
          <w:sz w:val="22"/>
          <w:szCs w:val="22"/>
        </w:rPr>
        <w:t xml:space="preserve">This is the final preparation window. Most surprises that derail settlement day are avoidable if this week is handled properly.</w:t>
      </w:r>
    </w:p>
    <w:p>
      <w:pPr>
        <w:pStyle w:val="ListParagraph"/>
        <w:numPr>
          <w:ilvl w:val="0"/>
          <w:numId w:val="2"/>
        </w:numPr>
        <w:spacing w:after="130"/>
      </w:pPr>
      <w:r>
        <w:rPr>
          <w:rFonts w:ascii="Calibri" w:cs="Calibri" w:eastAsia="Calibri" w:hAnsi="Calibri"/>
          <w:color w:val="1C1F24"/>
          <w:sz w:val="22"/>
          <w:szCs w:val="22"/>
        </w:rPr>
        <w:t xml:space="preserve">Confirm final settlement figures, including adjustments for rates, water and any other applicable costs.</w:t>
      </w:r>
    </w:p>
    <w:p>
      <w:pPr>
        <w:pStyle w:val="ListParagraph"/>
        <w:numPr>
          <w:ilvl w:val="0"/>
          <w:numId w:val="2"/>
        </w:numPr>
        <w:spacing w:after="130"/>
      </w:pPr>
      <w:r>
        <w:rPr>
          <w:rFonts w:ascii="Calibri" w:cs="Calibri" w:eastAsia="Calibri" w:hAnsi="Calibri"/>
          <w:color w:val="1C1F24"/>
          <w:sz w:val="22"/>
          <w:szCs w:val="22"/>
        </w:rPr>
        <w:t xml:space="preserve">If buying, arrange your final inspection of the property within the window specified in your contract.</w:t>
      </w:r>
    </w:p>
    <w:p>
      <w:pPr>
        <w:pStyle w:val="ListParagraph"/>
        <w:numPr>
          <w:ilvl w:val="0"/>
          <w:numId w:val="2"/>
        </w:numPr>
        <w:spacing w:after="130"/>
      </w:pPr>
      <w:r>
        <w:rPr>
          <w:rFonts w:ascii="Calibri" w:cs="Calibri" w:eastAsia="Calibri" w:hAnsi="Calibri"/>
          <w:color w:val="1C1F24"/>
          <w:sz w:val="22"/>
          <w:szCs w:val="22"/>
        </w:rPr>
        <w:t xml:space="preserve">Confirm with your conveyancer that all parties (lender, seller's representative) are ready to proceed.</w:t>
      </w:r>
    </w:p>
    <w:p>
      <w:pPr>
        <w:pStyle w:val="ListParagraph"/>
        <w:numPr>
          <w:ilvl w:val="0"/>
          <w:numId w:val="2"/>
        </w:numPr>
        <w:spacing w:after="130"/>
      </w:pPr>
      <w:r>
        <w:rPr>
          <w:rFonts w:ascii="Calibri" w:cs="Calibri" w:eastAsia="Calibri" w:hAnsi="Calibri"/>
          <w:color w:val="1C1F24"/>
          <w:sz w:val="22"/>
          <w:szCs w:val="22"/>
        </w:rPr>
        <w:t xml:space="preserve">Have a clear plan for keys, access and moving day logistics.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none"/>
              <w:left w:val="single" w:color="C7B694" w:sz="18"/>
              <w:bottom w:val="none"/>
              <w:right w:val="none"/>
            </w:tcBorders>
            <w:shd w:fill="F5F7FA" w:val="clear"/>
            <w:tcMar>
              <w:top w:type="dxa" w:w="200"/>
              <w:left w:type="dxa" w:w="260"/>
              <w:bottom w:type="dxa" w:w="200"/>
              <w:right w:type="dxa" w:w="260"/>
            </w:tcMar>
          </w:tcPr>
          <w:p>
            <w:pPr>
              <w:spacing w:after="60"/>
            </w:pPr>
            <w:r>
              <w:rPr>
                <w:rFonts w:ascii="Calibri" w:cs="Calibri" w:eastAsia="Calibri" w:hAnsi="Calibri"/>
                <w:b/>
                <w:bCs/>
                <w:color w:val="2F6D73"/>
                <w:spacing w:val="16"/>
                <w:sz w:val="16"/>
                <w:szCs w:val="16"/>
              </w:rPr>
              <w:t xml:space="preserve">WORTH KNOWING</w:t>
            </w:r>
          </w:p>
          <w:p>
            <w:r>
              <w:rPr>
                <w:rFonts w:ascii="Calibri" w:cs="Calibri" w:eastAsia="Calibri" w:hAnsi="Calibri"/>
                <w:color w:val="1C1F24"/>
                <w:sz w:val="21"/>
                <w:szCs w:val="21"/>
              </w:rPr>
              <w:t xml:space="preserve">Final inspections aren't just a quick walkthrough. They're your last opportunity to confirm the property matches what you agreed to purchase — take the time to do it properly.</w:t>
            </w:r>
          </w:p>
        </w:tc>
      </w:tr>
    </w:tbl>
    <w:p>
      <w:pPr>
        <w:spacing w:after="80"/>
      </w:pPr>
    </w:p>
    <w:p>
      <w:pPr>
        <w:spacing w:after="100" w:before="320"/>
      </w:pPr>
      <w:r>
        <w:rPr>
          <w:rFonts w:ascii="Calibri" w:cs="Calibri" w:eastAsia="Calibri" w:hAnsi="Calibri"/>
          <w:b/>
          <w:bCs/>
          <w:color w:val="C7B694"/>
          <w:spacing w:val="10"/>
          <w:sz w:val="18"/>
          <w:szCs w:val="18"/>
        </w:rPr>
        <w:t xml:space="preserve">04   </w:t>
      </w:r>
      <w:r>
        <w:rPr>
          <w:rFonts w:ascii="Cormorant Garamond" w:cs="Cormorant Garamond" w:eastAsia="Cormorant Garamond" w:hAnsi="Cormorant Garamond"/>
          <w:color w:val="22303B"/>
          <w:sz w:val="30"/>
          <w:szCs w:val="30"/>
        </w:rPr>
        <w:t xml:space="preserve">Settlement Day</w:t>
      </w:r>
    </w:p>
    <w:p>
      <w:pPr>
        <w:spacing w:after="160"/>
      </w:pPr>
      <w:r>
        <w:rPr>
          <w:rFonts w:ascii="Calibri" w:cs="Calibri" w:eastAsia="Calibri" w:hAnsi="Calibri"/>
          <w:color w:val="1C1F24"/>
          <w:sz w:val="22"/>
          <w:szCs w:val="22"/>
        </w:rPr>
        <w:t xml:space="preserve">By the time settlement day arrives, the goal is for nothing to feel urgent. Here's what's actually happening behind the scenes.</w:t>
      </w:r>
    </w:p>
    <w:p>
      <w:pPr>
        <w:pStyle w:val="ListParagraph"/>
        <w:numPr>
          <w:ilvl w:val="0"/>
          <w:numId w:val="2"/>
        </w:numPr>
        <w:spacing w:after="130"/>
      </w:pPr>
      <w:r>
        <w:rPr>
          <w:rFonts w:ascii="Calibri" w:cs="Calibri" w:eastAsia="Calibri" w:hAnsi="Calibri"/>
          <w:color w:val="1C1F24"/>
          <w:sz w:val="22"/>
          <w:szCs w:val="22"/>
        </w:rPr>
        <w:t xml:space="preserve">Funds are exchanged between the parties' representatives, and the property officially changes ownership.</w:t>
      </w:r>
    </w:p>
    <w:p>
      <w:pPr>
        <w:pStyle w:val="ListParagraph"/>
        <w:numPr>
          <w:ilvl w:val="0"/>
          <w:numId w:val="2"/>
        </w:numPr>
        <w:spacing w:after="130"/>
      </w:pPr>
      <w:r>
        <w:rPr>
          <w:rFonts w:ascii="Calibri" w:cs="Calibri" w:eastAsia="Calibri" w:hAnsi="Calibri"/>
          <w:color w:val="1C1F24"/>
          <w:sz w:val="22"/>
          <w:szCs w:val="22"/>
        </w:rPr>
        <w:t xml:space="preserve">You'll be notified as soon as settlement is confirmed — this can happen at any point during the day.</w:t>
      </w:r>
    </w:p>
    <w:p>
      <w:pPr>
        <w:pStyle w:val="ListParagraph"/>
        <w:numPr>
          <w:ilvl w:val="0"/>
          <w:numId w:val="2"/>
        </w:numPr>
        <w:spacing w:after="130"/>
      </w:pPr>
      <w:r>
        <w:rPr>
          <w:rFonts w:ascii="Calibri" w:cs="Calibri" w:eastAsia="Calibri" w:hAnsi="Calibri"/>
          <w:color w:val="1C1F24"/>
          <w:sz w:val="22"/>
          <w:szCs w:val="22"/>
        </w:rPr>
        <w:t xml:space="preserve">If buying, keys and access are typically released once settlement is confirmed (timing can vary by agent/seller).</w:t>
      </w:r>
    </w:p>
    <w:p>
      <w:pPr>
        <w:pStyle w:val="ListParagraph"/>
        <w:numPr>
          <w:ilvl w:val="0"/>
          <w:numId w:val="2"/>
        </w:numPr>
        <w:spacing w:after="130"/>
      </w:pPr>
      <w:r>
        <w:rPr>
          <w:rFonts w:ascii="Calibri" w:cs="Calibri" w:eastAsia="Calibri" w:hAnsi="Calibri"/>
          <w:color w:val="1C1F24"/>
          <w:sz w:val="22"/>
          <w:szCs w:val="22"/>
        </w:rPr>
        <w:t xml:space="preserve">If selling, ensure the property is left in the condition agreed in the contract, with all agreed inclusions in place.</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none"/>
              <w:left w:val="single" w:color="C7B694" w:sz="18"/>
              <w:bottom w:val="none"/>
              <w:right w:val="none"/>
            </w:tcBorders>
            <w:shd w:fill="F5F7FA" w:val="clear"/>
            <w:tcMar>
              <w:top w:type="dxa" w:w="200"/>
              <w:left w:type="dxa" w:w="260"/>
              <w:bottom w:type="dxa" w:w="200"/>
              <w:right w:type="dxa" w:w="260"/>
            </w:tcMar>
          </w:tcPr>
          <w:p>
            <w:pPr>
              <w:spacing w:after="60"/>
            </w:pPr>
            <w:r>
              <w:rPr>
                <w:rFonts w:ascii="Calibri" w:cs="Calibri" w:eastAsia="Calibri" w:hAnsi="Calibri"/>
                <w:b/>
                <w:bCs/>
                <w:color w:val="2F6D73"/>
                <w:spacing w:val="16"/>
                <w:sz w:val="16"/>
                <w:szCs w:val="16"/>
              </w:rPr>
              <w:t xml:space="preserve">WORTH KNOWING</w:t>
            </w:r>
          </w:p>
          <w:p>
            <w:r>
              <w:rPr>
                <w:rFonts w:ascii="Calibri" w:cs="Calibri" w:eastAsia="Calibri" w:hAnsi="Calibri"/>
                <w:color w:val="1C1F24"/>
                <w:sz w:val="21"/>
                <w:szCs w:val="21"/>
              </w:rPr>
              <w:t xml:space="preserve">Digital settlement (PEXA) has made this process faster and more transparent, but it still requires careful preparation in the lead-up. A smooth settlement day is the result of the weeks before it, not luck.</w:t>
            </w:r>
          </w:p>
        </w:tc>
      </w:tr>
    </w:tbl>
    <w:p>
      <w:pPr>
        <w:pBdr>
          <w:bottom w:val="single" w:color="D9D2C3" w:sz="4"/>
        </w:pBdr>
        <w:spacing w:after="200" w:before="200"/>
      </w:pPr>
    </w:p>
    <w:p>
      <w:pPr>
        <w:spacing w:after="100" w:before="320"/>
      </w:pPr>
      <w:r>
        <w:rPr>
          <w:rFonts w:ascii="Calibri" w:cs="Calibri" w:eastAsia="Calibri" w:hAnsi="Calibri"/>
          <w:b/>
          <w:bCs/>
          <w:color w:val="C7B694"/>
          <w:spacing w:val="10"/>
          <w:sz w:val="18"/>
          <w:szCs w:val="18"/>
        </w:rPr>
        <w:t xml:space="preserve">05   </w:t>
      </w:r>
      <w:r>
        <w:rPr>
          <w:rFonts w:ascii="Cormorant Garamond" w:cs="Cormorant Garamond" w:eastAsia="Cormorant Garamond" w:hAnsi="Cormorant Garamond"/>
          <w:color w:val="22303B"/>
          <w:sz w:val="30"/>
          <w:szCs w:val="30"/>
        </w:rPr>
        <w:t xml:space="preserve">After Settlement</w:t>
      </w:r>
    </w:p>
    <w:p>
      <w:pPr>
        <w:pStyle w:val="ListParagraph"/>
        <w:numPr>
          <w:ilvl w:val="0"/>
          <w:numId w:val="2"/>
        </w:numPr>
        <w:spacing w:after="130"/>
      </w:pPr>
      <w:r>
        <w:rPr>
          <w:rFonts w:ascii="Calibri" w:cs="Calibri" w:eastAsia="Calibri" w:hAnsi="Calibri"/>
          <w:color w:val="1C1F24"/>
          <w:sz w:val="22"/>
          <w:szCs w:val="22"/>
        </w:rPr>
        <w:t xml:space="preserve">Keep a copy of your final settlement statement and all transaction documents somewhere safe.</w:t>
      </w:r>
    </w:p>
    <w:p>
      <w:pPr>
        <w:pStyle w:val="ListParagraph"/>
        <w:numPr>
          <w:ilvl w:val="0"/>
          <w:numId w:val="2"/>
        </w:numPr>
        <w:spacing w:after="130"/>
      </w:pPr>
      <w:r>
        <w:rPr>
          <w:rFonts w:ascii="Calibri" w:cs="Calibri" w:eastAsia="Calibri" w:hAnsi="Calibri"/>
          <w:color w:val="1C1F24"/>
          <w:sz w:val="22"/>
          <w:szCs w:val="22"/>
        </w:rPr>
        <w:t xml:space="preserve">If buying, update your address with relevant institutions (bank, electoral roll, licensing, etc.).</w:t>
      </w:r>
    </w:p>
    <w:p>
      <w:pPr>
        <w:pStyle w:val="ListParagraph"/>
        <w:numPr>
          <w:ilvl w:val="0"/>
          <w:numId w:val="2"/>
        </w:numPr>
        <w:spacing w:after="130"/>
      </w:pPr>
      <w:r>
        <w:rPr>
          <w:rFonts w:ascii="Calibri" w:cs="Calibri" w:eastAsia="Calibri" w:hAnsi="Calibri"/>
          <w:color w:val="1C1F24"/>
          <w:sz w:val="22"/>
          <w:szCs w:val="22"/>
        </w:rPr>
        <w:t xml:space="preserve">If selling, confirm any final adjustments or refunds have been processed.</w:t>
      </w:r>
    </w:p>
    <w:p>
      <w:pPr>
        <w:pStyle w:val="ListParagraph"/>
        <w:numPr>
          <w:ilvl w:val="0"/>
          <w:numId w:val="2"/>
        </w:numPr>
        <w:spacing w:after="130"/>
      </w:pPr>
      <w:r>
        <w:rPr>
          <w:rFonts w:ascii="Calibri" w:cs="Calibri" w:eastAsia="Calibri" w:hAnsi="Calibri"/>
          <w:color w:val="1C1F24"/>
          <w:sz w:val="22"/>
          <w:szCs w:val="22"/>
        </w:rPr>
        <w:t xml:space="preserve">Take a breath — settlement is genuinely one of the more stressful parts of the process, and it's now behind you.</w:t>
      </w:r>
    </w:p>
    <w:p>
      <w:pPr>
        <w:spacing w:after="140"/>
      </w:pPr>
    </w:p>
    <w:p>
      <w:pPr>
        <w:pBdr>
          <w:bottom w:val="single" w:color="D9D2C3" w:sz="4"/>
        </w:pBdr>
        <w:spacing w:after="200" w:before="200"/>
      </w:pPr>
    </w:p>
    <w:p>
      <w:pPr>
        <w:pBdr>
          <w:bottom w:val="single" w:color="C7B694" w:sz="4" w:space="4"/>
        </w:pBdr>
        <w:spacing w:after="140" w:before="60"/>
      </w:pPr>
      <w:r>
        <w:rPr>
          <w:rFonts w:ascii="Cormorant Garamond" w:cs="Cormorant Garamond" w:eastAsia="Cormorant Garamond" w:hAnsi="Cormorant Garamond"/>
          <w:color w:val="22303B"/>
          <w:sz w:val="32"/>
          <w:szCs w:val="32"/>
        </w:rPr>
        <w:t xml:space="preserve">Want This Managed for You?</w:t>
      </w:r>
    </w:p>
    <w:p>
      <w:pPr>
        <w:spacing w:after="120"/>
      </w:pPr>
      <w:r>
        <w:rPr>
          <w:rFonts w:ascii="Calibri" w:cs="Calibri" w:eastAsia="Calibri" w:hAnsi="Calibri"/>
          <w:color w:val="1C1F24"/>
          <w:sz w:val="22"/>
          <w:szCs w:val="22"/>
        </w:rPr>
        <w:t xml:space="preserve">This checklist covers the general steps — but every matter has its own timeline, its own contract terms, and its own quirks. If you'd like an actual person tracking these dates against your specific settlement, that's exactly what we do.</w:t>
      </w:r>
    </w:p>
    <w:p>
      <w:pPr>
        <w:spacing w:after="120"/>
      </w:pPr>
      <w:r>
        <w:rPr>
          <w:rFonts w:ascii="Calibri" w:cs="Calibri" w:eastAsia="Calibri" w:hAnsi="Calibri"/>
          <w:color w:val="1C1F24"/>
          <w:sz w:val="22"/>
          <w:szCs w:val="22"/>
        </w:rPr>
        <w:t xml:space="preserve">Quintess Property Law provides premium conveyancing and property-law guidance for buyers and sellers across Tasmania, with a fully digital process for clients anywhere else.</w:t>
      </w:r>
    </w:p>
    <w:p>
      <w:pPr>
        <w:spacing w:after="100"/>
      </w:pPr>
    </w:p>
    <w:p>
      <w:pPr>
        <w:spacing w:after="40"/>
      </w:pPr>
      <w:r>
        <w:rPr>
          <w:rFonts w:ascii="Cormorant Garamond" w:cs="Cormorant Garamond" w:eastAsia="Cormorant Garamond" w:hAnsi="Cormorant Garamond"/>
          <w:b/>
          <w:bCs/>
          <w:color w:val="2F6D73"/>
          <w:sz w:val="26"/>
          <w:szCs w:val="26"/>
        </w:rPr>
        <w:t xml:space="preserve">Book a Fit Call  /  Request a Quote</w:t>
      </w:r>
    </w:p>
    <w:p>
      <w:r>
        <w:rPr>
          <w:rFonts w:ascii="Calibri" w:cs="Calibri" w:eastAsia="Calibri" w:hAnsi="Calibri"/>
          <w:color w:val="5D6A75"/>
          <w:sz w:val="20"/>
          <w:szCs w:val="20"/>
        </w:rPr>
        <w:t xml:space="preserve">hello@quintesspropertylaw.com.au   ·   (07) 0000 0000</w:t>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2C3" w:sz="4" w:space="6"/>
      </w:pBdr>
      <w:tabs>
        <w:tab w:val="right" w:pos="9026"/>
      </w:tabs>
    </w:pPr>
    <w:r>
      <w:rPr>
        <w:rFonts w:ascii="Calibri" w:cs="Calibri" w:eastAsia="Calibri" w:hAnsi="Calibri"/>
        <w:i/>
        <w:iCs/>
        <w:color w:val="5D6A75"/>
        <w:sz w:val="14"/>
        <w:szCs w:val="14"/>
      </w:rPr>
      <w:t xml:space="preserve">Clarity. Certainty. Settlement.</w:t>
    </w:r>
    <w:r>
      <w:rPr>
        <w:rFonts w:ascii="Calibri" w:cs="Calibri" w:eastAsia="Calibri" w:hAnsi="Calibri"/>
        <w:color w:val="5D6A75"/>
        <w:sz w:val="14"/>
        <w:szCs w:val="14"/>
      </w:rPr>
      <w:t xml:space="preserve">	Page </w:t>
    </w:r>
    <w:r>
      <w:rPr>
        <w:rFonts w:ascii="Calibri" w:cs="Calibri" w:eastAsia="Calibri" w:hAnsi="Calibri"/>
        <w:color w:val="5D6A75"/>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7B694" w:sz="4" w:space="6"/>
      </w:pBdr>
      <w:tabs>
        <w:tab w:val="right" w:pos="9026"/>
      </w:tabs>
    </w:pPr>
    <w:r>
      <w:rPr>
        <w:rFonts w:ascii="Cormorant Garamond" w:cs="Cormorant Garamond" w:eastAsia="Cormorant Garamond" w:hAnsi="Cormorant Garamond"/>
        <w:b/>
        <w:bCs/>
        <w:color w:val="22303B"/>
        <w:spacing w:val="20"/>
        <w:sz w:val="20"/>
        <w:szCs w:val="20"/>
      </w:rPr>
      <w:t xml:space="preserve">QUINTESS</w:t>
    </w:r>
    <w:r>
      <w:rPr>
        <w:rFonts w:ascii="Calibri" w:cs="Calibri" w:eastAsia="Calibri" w:hAnsi="Calibri"/>
        <w:color w:val="5D6A75"/>
        <w:spacing w:val="16"/>
        <w:sz w:val="14"/>
        <w:szCs w:val="14"/>
      </w:rPr>
      <w:t xml:space="preserve">  PROPERTY LAW</w:t>
    </w:r>
    <w:r>
      <w:rPr>
        <w:rFonts w:ascii="Calibri" w:cs="Calibri" w:eastAsia="Calibri" w:hAnsi="Calibri"/>
        <w:color w:val="5D6A75"/>
        <w:spacing w:val="12"/>
        <w:sz w:val="14"/>
        <w:szCs w:val="14"/>
      </w:rPr>
      <w:t xml:space="preserve">	THE SETTLEMENT CHECKLIST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20" w:hanging="320"/>
      </w:pPr>
      <w:rPr>
        <w:b/>
        <w:bCs/>
        <w:color w:val="2F6D73"/>
        <w:sz w:val="22"/>
        <w:szCs w:val="22"/>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C1F24"/>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2026-06-22T04:14:21.288Z</dcterms:created>
  <dcterms:modified xsi:type="dcterms:W3CDTF">2026-06-22T04:14:21.288Z</dcterms:modified>
</cp:coreProperties>
</file>

<file path=docProps/custom.xml><?xml version="1.0" encoding="utf-8"?>
<Properties xmlns="http://schemas.openxmlformats.org/officeDocument/2006/custom-properties" xmlns:vt="http://schemas.openxmlformats.org/officeDocument/2006/docPropsVTypes"/>
</file>