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F6D73"/>
          <w:spacing w:val="20"/>
          <w:sz w:val="16"/>
          <w:szCs w:val="16"/>
        </w:rPr>
        <w:t xml:space="preserve">QUINTESS PROPERTY LAW  ·  SELLER RESOURCE</w:t>
      </w:r>
    </w:p>
    <w:p>
      <w:pPr>
        <w:spacing w:after="160"/>
      </w:pPr>
      <w:r>
        <w:rPr>
          <w:rFonts w:ascii="Cormorant Garamond" w:cs="Cormorant Garamond" w:eastAsia="Cormorant Garamond" w:hAnsi="Cormorant Garamond"/>
          <w:color w:val="22303B"/>
          <w:sz w:val="52"/>
          <w:szCs w:val="52"/>
        </w:rPr>
        <w:t xml:space="preserve">Seller Preparation Checklist</w:t>
      </w:r>
    </w:p>
    <w:p>
      <w:pPr>
        <w:spacing w:after="260"/>
      </w:pPr>
      <w:r>
        <w:rPr>
          <w:rFonts w:ascii="Calibri" w:cs="Calibri" w:eastAsia="Calibri" w:hAnsi="Calibri"/>
          <w:color w:val="5D6A75"/>
          <w:sz w:val="24"/>
          <w:szCs w:val="24"/>
        </w:rPr>
        <w:t xml:space="preserve">What to prepare before your property goes to market — so your sale starts cleanly and stays that way.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180"/>
              <w:left w:type="dxa" w:w="240"/>
              <w:bottom w:type="dxa" w:w="180"/>
              <w:right w:type="dxa" w:w="240"/>
            </w:tcMar>
          </w:tcPr>
          <w:p>
            <w:pPr>
              <w:spacing w:after="60"/>
            </w:pPr>
            <w:r>
              <w:rPr>
                <w:rFonts w:ascii="Calibri" w:cs="Calibri" w:eastAsia="Calibri" w:hAnsi="Calibri"/>
                <w:b/>
                <w:bCs/>
                <w:color w:val="2F6D73"/>
                <w:spacing w:val="14"/>
                <w:sz w:val="16"/>
                <w:szCs w:val="16"/>
              </w:rPr>
              <w:t xml:space="preserve">BEFORE YOU START</w:t>
            </w:r>
          </w:p>
          <w:p>
            <w:r>
              <w:rPr>
                <w:rFonts w:ascii="Calibri" w:cs="Calibri" w:eastAsia="Calibri" w:hAnsi="Calibri"/>
                <w:color w:val="1C1F24"/>
                <w:sz w:val="20"/>
                <w:szCs w:val="20"/>
              </w:rPr>
              <w:t xml:space="preserve">This checklist covers preparation steps for sellers before a contract is signed. Your specific sale may have additional requirements depending on the property type, your circumstances, and the terms your conveyancer recommends — we'll walk you through those directly.</w:t>
            </w:r>
          </w:p>
        </w:tc>
      </w:tr>
    </w:tbl>
    <w:p>
      <w:pPr>
        <w:spacing w:after="160"/>
      </w:pPr>
    </w:p>
    <w:p>
      <w:pPr>
        <w:spacing w:after="90" w:before="300"/>
      </w:pPr>
      <w:r>
        <w:rPr>
          <w:rFonts w:ascii="Calibri" w:cs="Calibri" w:eastAsia="Calibri" w:hAnsi="Calibri"/>
          <w:b/>
          <w:bCs/>
          <w:color w:val="C7B694"/>
          <w:spacing w:val="10"/>
          <w:sz w:val="18"/>
          <w:szCs w:val="18"/>
        </w:rPr>
        <w:t xml:space="preserve">01   </w:t>
      </w:r>
      <w:r>
        <w:rPr>
          <w:rFonts w:ascii="Cormorant Garamond" w:cs="Cormorant Garamond" w:eastAsia="Cormorant Garamond" w:hAnsi="Cormorant Garamond"/>
          <w:color w:val="22303B"/>
          <w:sz w:val="30"/>
          <w:szCs w:val="30"/>
        </w:rPr>
        <w:t xml:space="preserve">Engage Your Conveyancer Early</w:t>
      </w:r>
    </w:p>
    <w:p>
      <w:pPr>
        <w:spacing w:after="140"/>
      </w:pPr>
      <w:r>
        <w:rPr>
          <w:rFonts w:ascii="Calibri" w:cs="Calibri" w:eastAsia="Calibri" w:hAnsi="Calibri"/>
          <w:color w:val="1C1F24"/>
          <w:sz w:val="22"/>
          <w:szCs w:val="22"/>
        </w:rPr>
        <w:t xml:space="preserve">Most sellers wait until after they've accepted an offer to contact a conveyancer. Engaging earlier — before your property is listed — avoids delays, allows time for proper contract preparation, and ensures disclosure obligations are met from the start.</w:t>
      </w:r>
    </w:p>
    <w:p>
      <w:pPr>
        <w:pStyle w:val="ListParagraph"/>
        <w:numPr>
          <w:ilvl w:val="0"/>
          <w:numId w:val="2"/>
        </w:numPr>
        <w:spacing w:after="120"/>
      </w:pPr>
      <w:r>
        <w:rPr>
          <w:rFonts w:ascii="Calibri" w:cs="Calibri" w:eastAsia="Calibri" w:hAnsi="Calibri"/>
          <w:color w:val="1C1F24"/>
          <w:sz w:val="22"/>
          <w:szCs w:val="22"/>
        </w:rPr>
        <w:t xml:space="preserve">Contact your conveyancer before the property goes to market.</w:t>
      </w:r>
    </w:p>
    <w:p>
      <w:pPr>
        <w:pStyle w:val="ListParagraph"/>
        <w:numPr>
          <w:ilvl w:val="0"/>
          <w:numId w:val="2"/>
        </w:numPr>
        <w:spacing w:after="120"/>
      </w:pPr>
      <w:r>
        <w:rPr>
          <w:rFonts w:ascii="Calibri" w:cs="Calibri" w:eastAsia="Calibri" w:hAnsi="Calibri"/>
          <w:color w:val="1C1F24"/>
          <w:sz w:val="22"/>
          <w:szCs w:val="22"/>
        </w:rPr>
        <w:t xml:space="preserve">Confirm what information and documents they'll need from you upfront.</w:t>
      </w:r>
    </w:p>
    <w:p>
      <w:pPr>
        <w:pStyle w:val="ListParagraph"/>
        <w:numPr>
          <w:ilvl w:val="0"/>
          <w:numId w:val="2"/>
        </w:numPr>
        <w:spacing w:after="120"/>
      </w:pPr>
      <w:r>
        <w:rPr>
          <w:rFonts w:ascii="Calibri" w:cs="Calibri" w:eastAsia="Calibri" w:hAnsi="Calibri"/>
          <w:color w:val="1C1F24"/>
          <w:sz w:val="22"/>
          <w:szCs w:val="22"/>
        </w:rPr>
        <w:t xml:space="preserve">Discuss any known issues with the property — these may need to be disclosed in the contract.</w:t>
      </w:r>
    </w:p>
    <w:p>
      <w:pPr>
        <w:pStyle w:val="ListParagraph"/>
        <w:numPr>
          <w:ilvl w:val="0"/>
          <w:numId w:val="2"/>
        </w:numPr>
        <w:spacing w:after="120"/>
      </w:pPr>
      <w:r>
        <w:rPr>
          <w:rFonts w:ascii="Calibri" w:cs="Calibri" w:eastAsia="Calibri" w:hAnsi="Calibri"/>
          <w:color w:val="1C1F24"/>
          <w:sz w:val="22"/>
          <w:szCs w:val="22"/>
        </w:rPr>
        <w:t xml:space="preserve">Confirm the anticipated timeline: listing date, expected offer timeframe, and target settlement date.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180"/>
              <w:left w:type="dxa" w:w="240"/>
              <w:bottom w:type="dxa" w:w="180"/>
              <w:right w:type="dxa" w:w="240"/>
            </w:tcMar>
          </w:tcPr>
          <w:p>
            <w:pPr>
              <w:spacing w:after="60"/>
            </w:pPr>
            <w:r>
              <w:rPr>
                <w:rFonts w:ascii="Calibri" w:cs="Calibri" w:eastAsia="Calibri" w:hAnsi="Calibri"/>
                <w:b/>
                <w:bCs/>
                <w:color w:val="2F6D73"/>
                <w:spacing w:val="14"/>
                <w:sz w:val="16"/>
                <w:szCs w:val="16"/>
              </w:rPr>
              <w:t xml:space="preserve">WORTH KNOWING</w:t>
            </w:r>
          </w:p>
          <w:p>
            <w:r>
              <w:rPr>
                <w:rFonts w:ascii="Calibri" w:cs="Calibri" w:eastAsia="Calibri" w:hAnsi="Calibri"/>
                <w:color w:val="1C1F24"/>
                <w:sz w:val="20"/>
                <w:szCs w:val="20"/>
              </w:rPr>
              <w:t xml:space="preserve">Your conveyancer prepares the contract. Your agent presents it. Engaging your conveyancer before you list means the contract is ready before you need it, rather than being rushed together once an offer arrives.</w:t>
            </w:r>
          </w:p>
        </w:tc>
      </w:tr>
    </w:tbl>
    <w:p>
      <w:pPr>
        <w:spacing w:after="100"/>
      </w:pPr>
    </w:p>
    <w:p>
      <w:pPr>
        <w:spacing w:after="90" w:before="300"/>
      </w:pPr>
      <w:r>
        <w:rPr>
          <w:rFonts w:ascii="Calibri" w:cs="Calibri" w:eastAsia="Calibri" w:hAnsi="Calibri"/>
          <w:b/>
          <w:bCs/>
          <w:color w:val="C7B694"/>
          <w:spacing w:val="10"/>
          <w:sz w:val="18"/>
          <w:szCs w:val="18"/>
        </w:rPr>
        <w:t xml:space="preserve">02   </w:t>
      </w:r>
      <w:r>
        <w:rPr>
          <w:rFonts w:ascii="Cormorant Garamond" w:cs="Cormorant Garamond" w:eastAsia="Cormorant Garamond" w:hAnsi="Cormorant Garamond"/>
          <w:color w:val="22303B"/>
          <w:sz w:val="30"/>
          <w:szCs w:val="30"/>
        </w:rPr>
        <w:t xml:space="preserve">Documents and Title</w:t>
      </w:r>
    </w:p>
    <w:p>
      <w:pPr>
        <w:spacing w:after="140"/>
      </w:pPr>
      <w:r>
        <w:rPr>
          <w:rFonts w:ascii="Calibri" w:cs="Calibri" w:eastAsia="Calibri" w:hAnsi="Calibri"/>
          <w:color w:val="1C1F24"/>
          <w:sz w:val="22"/>
          <w:szCs w:val="22"/>
        </w:rPr>
        <w:t xml:space="preserve">Gathering the right documents early avoids delays at every subsequent stage. Some of these take time to obtain — start this process as soon as you decide to sell.</w:t>
      </w:r>
    </w:p>
    <w:p>
      <w:pPr>
        <w:pStyle w:val="ListParagraph"/>
        <w:numPr>
          <w:ilvl w:val="0"/>
          <w:numId w:val="2"/>
        </w:numPr>
        <w:spacing w:after="120"/>
      </w:pPr>
      <w:r>
        <w:rPr>
          <w:rFonts w:ascii="Calibri" w:cs="Calibri" w:eastAsia="Calibri" w:hAnsi="Calibri"/>
          <w:color w:val="1C1F24"/>
          <w:sz w:val="22"/>
          <w:szCs w:val="22"/>
        </w:rPr>
        <w:t xml:space="preserve">Locate your Certificate of Title or confirm your conveyancer can access it via PEXA or the titles registry.</w:t>
      </w:r>
    </w:p>
    <w:p>
      <w:pPr>
        <w:pStyle w:val="ListParagraph"/>
        <w:numPr>
          <w:ilvl w:val="0"/>
          <w:numId w:val="2"/>
        </w:numPr>
        <w:spacing w:after="120"/>
      </w:pPr>
      <w:r>
        <w:rPr>
          <w:rFonts w:ascii="Calibri" w:cs="Calibri" w:eastAsia="Calibri" w:hAnsi="Calibri"/>
          <w:color w:val="1C1F24"/>
          <w:sz w:val="22"/>
          <w:szCs w:val="22"/>
        </w:rPr>
        <w:t xml:space="preserve">Obtain a copy of your council rates notice (current financial year).</w:t>
      </w:r>
    </w:p>
    <w:p>
      <w:pPr>
        <w:pStyle w:val="ListParagraph"/>
        <w:numPr>
          <w:ilvl w:val="0"/>
          <w:numId w:val="2"/>
        </w:numPr>
        <w:spacing w:after="120"/>
      </w:pPr>
      <w:r>
        <w:rPr>
          <w:rFonts w:ascii="Calibri" w:cs="Calibri" w:eastAsia="Calibri" w:hAnsi="Calibri"/>
          <w:color w:val="1C1F24"/>
          <w:sz w:val="22"/>
          <w:szCs w:val="22"/>
        </w:rPr>
        <w:t xml:space="preserve">Obtain a copy of your water rates notice (current financial year).</w:t>
      </w:r>
    </w:p>
    <w:p>
      <w:pPr>
        <w:pStyle w:val="ListParagraph"/>
        <w:numPr>
          <w:ilvl w:val="0"/>
          <w:numId w:val="2"/>
        </w:numPr>
        <w:spacing w:after="120"/>
      </w:pPr>
      <w:r>
        <w:rPr>
          <w:rFonts w:ascii="Calibri" w:cs="Calibri" w:eastAsia="Calibri" w:hAnsi="Calibri"/>
          <w:color w:val="1C1F24"/>
          <w:sz w:val="22"/>
          <w:szCs w:val="22"/>
        </w:rPr>
        <w:t xml:space="preserve">If the property is strata or community title, obtain a copy of the strata plan and recent meeting minutes.</w:t>
      </w:r>
    </w:p>
    <w:p>
      <w:pPr>
        <w:pStyle w:val="ListParagraph"/>
        <w:numPr>
          <w:ilvl w:val="0"/>
          <w:numId w:val="2"/>
        </w:numPr>
        <w:spacing w:after="120"/>
      </w:pPr>
      <w:r>
        <w:rPr>
          <w:rFonts w:ascii="Calibri" w:cs="Calibri" w:eastAsia="Calibri" w:hAnsi="Calibri"/>
          <w:color w:val="1C1F24"/>
          <w:sz w:val="22"/>
          <w:szCs w:val="22"/>
        </w:rPr>
        <w:t xml:space="preserve">Locate any certificates of compliance for works carried out on the property (extensions, decks, pools, sheds, etc.).</w:t>
      </w:r>
    </w:p>
    <w:p>
      <w:pPr>
        <w:pStyle w:val="ListParagraph"/>
        <w:numPr>
          <w:ilvl w:val="0"/>
          <w:numId w:val="2"/>
        </w:numPr>
        <w:spacing w:after="120"/>
      </w:pPr>
      <w:r>
        <w:rPr>
          <w:rFonts w:ascii="Calibri" w:cs="Calibri" w:eastAsia="Calibri" w:hAnsi="Calibri"/>
          <w:color w:val="1C1F24"/>
          <w:sz w:val="22"/>
          <w:szCs w:val="22"/>
        </w:rPr>
        <w:t xml:space="preserve">If there is a swimming pool, confirm pool safety compliance and obtain the relevant certificate if required.</w:t>
      </w:r>
    </w:p>
    <w:p>
      <w:pPr>
        <w:pStyle w:val="ListParagraph"/>
        <w:numPr>
          <w:ilvl w:val="0"/>
          <w:numId w:val="2"/>
        </w:numPr>
        <w:spacing w:after="120"/>
      </w:pPr>
      <w:r>
        <w:rPr>
          <w:rFonts w:ascii="Calibri" w:cs="Calibri" w:eastAsia="Calibri" w:hAnsi="Calibri"/>
          <w:color w:val="1C1F24"/>
          <w:sz w:val="22"/>
          <w:szCs w:val="22"/>
        </w:rPr>
        <w:t xml:space="preserve">If there is a smoke alarm system, confirm compliance with current requirements.</w:t>
      </w:r>
    </w:p>
    <w:p>
      <w:pPr>
        <w:spacing w:after="90" w:before="300"/>
      </w:pPr>
      <w:r>
        <w:rPr>
          <w:rFonts w:ascii="Calibri" w:cs="Calibri" w:eastAsia="Calibri" w:hAnsi="Calibri"/>
          <w:b/>
          <w:bCs/>
          <w:color w:val="C7B694"/>
          <w:spacing w:val="10"/>
          <w:sz w:val="18"/>
          <w:szCs w:val="18"/>
        </w:rPr>
        <w:t xml:space="preserve">03   </w:t>
      </w:r>
      <w:r>
        <w:rPr>
          <w:rFonts w:ascii="Cormorant Garamond" w:cs="Cormorant Garamond" w:eastAsia="Cormorant Garamond" w:hAnsi="Cormorant Garamond"/>
          <w:color w:val="22303B"/>
          <w:sz w:val="30"/>
          <w:szCs w:val="30"/>
        </w:rPr>
        <w:t xml:space="preserve">Property Condition and Disclosure</w:t>
      </w:r>
    </w:p>
    <w:p>
      <w:pPr>
        <w:spacing w:after="140"/>
      </w:pPr>
      <w:r>
        <w:rPr>
          <w:rFonts w:ascii="Calibri" w:cs="Calibri" w:eastAsia="Calibri" w:hAnsi="Calibri"/>
          <w:color w:val="1C1F24"/>
          <w:sz w:val="22"/>
          <w:szCs w:val="22"/>
        </w:rPr>
        <w:t xml:space="preserve">Sellers have disclosure obligations — certain known defects, disputes, and encumbrances must be disclosed to buyers. Getting ahead of this protects you and prevents issues arising after the contract is signed.</w:t>
      </w:r>
    </w:p>
    <w:p>
      <w:pPr>
        <w:pStyle w:val="ListParagraph"/>
        <w:numPr>
          <w:ilvl w:val="0"/>
          <w:numId w:val="2"/>
        </w:numPr>
        <w:spacing w:after="120"/>
      </w:pPr>
      <w:r>
        <w:rPr>
          <w:rFonts w:ascii="Calibri" w:cs="Calibri" w:eastAsia="Calibri" w:hAnsi="Calibri"/>
          <w:color w:val="1C1F24"/>
          <w:sz w:val="22"/>
          <w:szCs w:val="22"/>
        </w:rPr>
        <w:t xml:space="preserve">Review the property for any defects, incomplete works, or known issues that may need to be disclosed.</w:t>
      </w:r>
    </w:p>
    <w:p>
      <w:pPr>
        <w:pStyle w:val="ListParagraph"/>
        <w:numPr>
          <w:ilvl w:val="0"/>
          <w:numId w:val="2"/>
        </w:numPr>
        <w:spacing w:after="120"/>
      </w:pPr>
      <w:r>
        <w:rPr>
          <w:rFonts w:ascii="Calibri" w:cs="Calibri" w:eastAsia="Calibri" w:hAnsi="Calibri"/>
          <w:color w:val="1C1F24"/>
          <w:sz w:val="22"/>
          <w:szCs w:val="22"/>
        </w:rPr>
        <w:t xml:space="preserve">Identify any disputes with neighbours, the council, or any other party relating to the property.</w:t>
      </w:r>
    </w:p>
    <w:p>
      <w:pPr>
        <w:pStyle w:val="ListParagraph"/>
        <w:numPr>
          <w:ilvl w:val="0"/>
          <w:numId w:val="2"/>
        </w:numPr>
        <w:spacing w:after="120"/>
      </w:pPr>
      <w:r>
        <w:rPr>
          <w:rFonts w:ascii="Calibri" w:cs="Calibri" w:eastAsia="Calibri" w:hAnsi="Calibri"/>
          <w:color w:val="1C1F24"/>
          <w:sz w:val="22"/>
          <w:szCs w:val="22"/>
        </w:rPr>
        <w:t xml:space="preserve">Check whether there are any easements, rights of way, or encroachments affecting the property.</w:t>
      </w:r>
    </w:p>
    <w:p>
      <w:pPr>
        <w:pStyle w:val="ListParagraph"/>
        <w:numPr>
          <w:ilvl w:val="0"/>
          <w:numId w:val="2"/>
        </w:numPr>
        <w:spacing w:after="120"/>
      </w:pPr>
      <w:r>
        <w:rPr>
          <w:rFonts w:ascii="Calibri" w:cs="Calibri" w:eastAsia="Calibri" w:hAnsi="Calibri"/>
          <w:color w:val="1C1F24"/>
          <w:sz w:val="22"/>
          <w:szCs w:val="22"/>
        </w:rPr>
        <w:t xml:space="preserve">Identify any works carried out without council approval that may need to be disclosed or regularised.</w:t>
      </w:r>
    </w:p>
    <w:p>
      <w:pPr>
        <w:pStyle w:val="ListParagraph"/>
        <w:numPr>
          <w:ilvl w:val="0"/>
          <w:numId w:val="2"/>
        </w:numPr>
        <w:spacing w:after="120"/>
      </w:pPr>
      <w:r>
        <w:rPr>
          <w:rFonts w:ascii="Calibri" w:cs="Calibri" w:eastAsia="Calibri" w:hAnsi="Calibri"/>
          <w:color w:val="1C1F24"/>
          <w:sz w:val="22"/>
          <w:szCs w:val="22"/>
        </w:rPr>
        <w:t xml:space="preserve">Discuss the results of the above with your conveyancer before the contract is finalised.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left w:val="single" w:color="C7B694" w:sz="18"/>
              <w:bottom w:val="none"/>
              <w:right w:val="none"/>
            </w:tcBorders>
            <w:shd w:fill="F5F7FA" w:val="clear"/>
            <w:tcMar>
              <w:top w:type="dxa" w:w="180"/>
              <w:left w:type="dxa" w:w="240"/>
              <w:bottom w:type="dxa" w:w="180"/>
              <w:right w:type="dxa" w:w="240"/>
            </w:tcMar>
          </w:tcPr>
          <w:p>
            <w:pPr>
              <w:spacing w:after="60"/>
            </w:pPr>
            <w:r>
              <w:rPr>
                <w:rFonts w:ascii="Calibri" w:cs="Calibri" w:eastAsia="Calibri" w:hAnsi="Calibri"/>
                <w:b/>
                <w:bCs/>
                <w:color w:val="2F6D73"/>
                <w:spacing w:val="14"/>
                <w:sz w:val="16"/>
                <w:szCs w:val="16"/>
              </w:rPr>
              <w:t xml:space="preserve">WORTH KNOWING</w:t>
            </w:r>
          </w:p>
          <w:p>
            <w:r>
              <w:rPr>
                <w:rFonts w:ascii="Calibri" w:cs="Calibri" w:eastAsia="Calibri" w:hAnsi="Calibri"/>
                <w:color w:val="1C1F24"/>
                <w:sz w:val="20"/>
                <w:szCs w:val="20"/>
              </w:rPr>
              <w:t xml:space="preserve">Disclosure is not the same as liability. In many cases, disclosing a known issue in the contract is far better than having a buyer discover it afterward — both legally and practically. Your conveyancer can advise on what needs to be disclosed and how.</w:t>
            </w:r>
          </w:p>
        </w:tc>
      </w:tr>
    </w:tbl>
    <w:p>
      <w:pPr>
        <w:spacing w:after="100"/>
      </w:pPr>
    </w:p>
    <w:p>
      <w:pPr>
        <w:spacing w:after="90" w:before="300"/>
      </w:pPr>
      <w:r>
        <w:rPr>
          <w:rFonts w:ascii="Calibri" w:cs="Calibri" w:eastAsia="Calibri" w:hAnsi="Calibri"/>
          <w:b/>
          <w:bCs/>
          <w:color w:val="C7B694"/>
          <w:spacing w:val="10"/>
          <w:sz w:val="18"/>
          <w:szCs w:val="18"/>
        </w:rPr>
        <w:t xml:space="preserve">04   </w:t>
      </w:r>
      <w:r>
        <w:rPr>
          <w:rFonts w:ascii="Cormorant Garamond" w:cs="Cormorant Garamond" w:eastAsia="Cormorant Garamond" w:hAnsi="Cormorant Garamond"/>
          <w:color w:val="22303B"/>
          <w:sz w:val="30"/>
          <w:szCs w:val="30"/>
        </w:rPr>
        <w:t xml:space="preserve">Inclusions and Exclusions</w:t>
      </w:r>
    </w:p>
    <w:p>
      <w:pPr>
        <w:spacing w:after="140"/>
      </w:pPr>
      <w:r>
        <w:rPr>
          <w:rFonts w:ascii="Calibri" w:cs="Calibri" w:eastAsia="Calibri" w:hAnsi="Calibri"/>
          <w:color w:val="1C1F24"/>
          <w:sz w:val="22"/>
          <w:szCs w:val="22"/>
        </w:rPr>
        <w:t xml:space="preserve">Disputes about what stays with the property are surprisingly common. Deciding this clearly before the contract is drafted avoids misunderstandings and renegotiation later.</w:t>
      </w:r>
    </w:p>
    <w:p>
      <w:pPr>
        <w:pStyle w:val="ListParagraph"/>
        <w:numPr>
          <w:ilvl w:val="0"/>
          <w:numId w:val="2"/>
        </w:numPr>
        <w:spacing w:after="120"/>
      </w:pPr>
      <w:r>
        <w:rPr>
          <w:rFonts w:ascii="Calibri" w:cs="Calibri" w:eastAsia="Calibri" w:hAnsi="Calibri"/>
          <w:color w:val="1C1F24"/>
          <w:sz w:val="22"/>
          <w:szCs w:val="22"/>
        </w:rPr>
        <w:t xml:space="preserve">Decide which fixtures and fittings are included in the sale (light fittings, window coverings, built-in appliances).</w:t>
      </w:r>
    </w:p>
    <w:p>
      <w:pPr>
        <w:pStyle w:val="ListParagraph"/>
        <w:numPr>
          <w:ilvl w:val="0"/>
          <w:numId w:val="2"/>
        </w:numPr>
        <w:spacing w:after="120"/>
      </w:pPr>
      <w:r>
        <w:rPr>
          <w:rFonts w:ascii="Calibri" w:cs="Calibri" w:eastAsia="Calibri" w:hAnsi="Calibri"/>
          <w:color w:val="1C1F24"/>
          <w:sz w:val="22"/>
          <w:szCs w:val="22"/>
        </w:rPr>
        <w:t xml:space="preserve">Decide which items are excluded — particularly anything that could be considered a fixture but that you intend to take.</w:t>
      </w:r>
    </w:p>
    <w:p>
      <w:pPr>
        <w:pStyle w:val="ListParagraph"/>
        <w:numPr>
          <w:ilvl w:val="0"/>
          <w:numId w:val="2"/>
        </w:numPr>
        <w:spacing w:after="120"/>
      </w:pPr>
      <w:r>
        <w:rPr>
          <w:rFonts w:ascii="Calibri" w:cs="Calibri" w:eastAsia="Calibri" w:hAnsi="Calibri"/>
          <w:color w:val="1C1F24"/>
          <w:sz w:val="22"/>
          <w:szCs w:val="22"/>
        </w:rPr>
        <w:t xml:space="preserve">Confirm the position on outdoor items: garden equipment, sheds, clotheslines, satellite dishes, security cameras.</w:t>
      </w:r>
    </w:p>
    <w:p>
      <w:pPr>
        <w:pStyle w:val="ListParagraph"/>
        <w:numPr>
          <w:ilvl w:val="0"/>
          <w:numId w:val="2"/>
        </w:numPr>
        <w:spacing w:after="120"/>
      </w:pPr>
      <w:r>
        <w:rPr>
          <w:rFonts w:ascii="Calibri" w:cs="Calibri" w:eastAsia="Calibri" w:hAnsi="Calibri"/>
          <w:color w:val="1C1F24"/>
          <w:sz w:val="22"/>
          <w:szCs w:val="22"/>
        </w:rPr>
        <w:t xml:space="preserve">If the property is tenanted, confirm the status of the tenancy and how it will be handled at settlement.</w:t>
      </w:r>
    </w:p>
    <w:p>
      <w:pPr>
        <w:pStyle w:val="ListParagraph"/>
        <w:numPr>
          <w:ilvl w:val="0"/>
          <w:numId w:val="2"/>
        </w:numPr>
        <w:spacing w:after="120"/>
      </w:pPr>
      <w:r>
        <w:rPr>
          <w:rFonts w:ascii="Calibri" w:cs="Calibri" w:eastAsia="Calibri" w:hAnsi="Calibri"/>
          <w:color w:val="1C1F24"/>
          <w:sz w:val="22"/>
          <w:szCs w:val="22"/>
        </w:rPr>
        <w:t xml:space="preserve">Provide your confirmed inclusions and exclusions list to your conveyancer before the contract is drafted.</w:t>
      </w:r>
    </w:p>
    <w:p>
      <w:pPr>
        <w:spacing w:after="90" w:before="300"/>
      </w:pPr>
      <w:r>
        <w:rPr>
          <w:rFonts w:ascii="Calibri" w:cs="Calibri" w:eastAsia="Calibri" w:hAnsi="Calibri"/>
          <w:b/>
          <w:bCs/>
          <w:color w:val="C7B694"/>
          <w:spacing w:val="10"/>
          <w:sz w:val="18"/>
          <w:szCs w:val="18"/>
        </w:rPr>
        <w:t xml:space="preserve">05   </w:t>
      </w:r>
      <w:r>
        <w:rPr>
          <w:rFonts w:ascii="Cormorant Garamond" w:cs="Cormorant Garamond" w:eastAsia="Cormorant Garamond" w:hAnsi="Cormorant Garamond"/>
          <w:color w:val="22303B"/>
          <w:sz w:val="30"/>
          <w:szCs w:val="30"/>
        </w:rPr>
        <w:t xml:space="preserve">Practical Preparation</w:t>
      </w:r>
    </w:p>
    <w:p>
      <w:pPr>
        <w:spacing w:after="140"/>
      </w:pPr>
      <w:r>
        <w:rPr>
          <w:rFonts w:ascii="Calibri" w:cs="Calibri" w:eastAsia="Calibri" w:hAnsi="Calibri"/>
          <w:color w:val="1C1F24"/>
          <w:sz w:val="22"/>
          <w:szCs w:val="22"/>
        </w:rPr>
        <w:t xml:space="preserve">The items below don't affect the contract directly, but staying on top of them prevents avoidable complications in the lead-up to settlement.</w:t>
      </w:r>
    </w:p>
    <w:p>
      <w:pPr>
        <w:pStyle w:val="ListParagraph"/>
        <w:numPr>
          <w:ilvl w:val="0"/>
          <w:numId w:val="2"/>
        </w:numPr>
        <w:spacing w:after="120"/>
      </w:pPr>
      <w:r>
        <w:rPr>
          <w:rFonts w:ascii="Calibri" w:cs="Calibri" w:eastAsia="Calibri" w:hAnsi="Calibri"/>
          <w:color w:val="1C1F24"/>
          <w:sz w:val="22"/>
          <w:szCs w:val="22"/>
        </w:rPr>
        <w:t xml:space="preserve">Confirm your target settlement date and check it works with your own plans (purchasing, moving, financing).</w:t>
      </w:r>
    </w:p>
    <w:p>
      <w:pPr>
        <w:pStyle w:val="ListParagraph"/>
        <w:numPr>
          <w:ilvl w:val="0"/>
          <w:numId w:val="2"/>
        </w:numPr>
        <w:spacing w:after="120"/>
      </w:pPr>
      <w:r>
        <w:rPr>
          <w:rFonts w:ascii="Calibri" w:cs="Calibri" w:eastAsia="Calibri" w:hAnsi="Calibri"/>
          <w:color w:val="1C1F24"/>
          <w:sz w:val="22"/>
          <w:szCs w:val="22"/>
        </w:rPr>
        <w:t xml:space="preserve">If you're buying another property at the same time, confirm that both settlement dates can be aligned or that bridging arrangements are in place.</w:t>
      </w:r>
    </w:p>
    <w:p>
      <w:pPr>
        <w:pStyle w:val="ListParagraph"/>
        <w:numPr>
          <w:ilvl w:val="0"/>
          <w:numId w:val="2"/>
        </w:numPr>
        <w:spacing w:after="120"/>
      </w:pPr>
      <w:r>
        <w:rPr>
          <w:rFonts w:ascii="Calibri" w:cs="Calibri" w:eastAsia="Calibri" w:hAnsi="Calibri"/>
          <w:color w:val="1C1F24"/>
          <w:sz w:val="22"/>
          <w:szCs w:val="22"/>
        </w:rPr>
        <w:t xml:space="preserve">Begin organising any maintenance, cleaning, or cosmetic works needed before listing.</w:t>
      </w:r>
    </w:p>
    <w:p>
      <w:pPr>
        <w:pStyle w:val="ListParagraph"/>
        <w:numPr>
          <w:ilvl w:val="0"/>
          <w:numId w:val="2"/>
        </w:numPr>
        <w:spacing w:after="120"/>
      </w:pPr>
      <w:r>
        <w:rPr>
          <w:rFonts w:ascii="Calibri" w:cs="Calibri" w:eastAsia="Calibri" w:hAnsi="Calibri"/>
          <w:color w:val="1C1F24"/>
          <w:sz w:val="22"/>
          <w:szCs w:val="22"/>
        </w:rPr>
        <w:t xml:space="preserve">Let your mortgage lender know you intend to sell — there may be steps required to discharge the mortgage at settlement.</w:t>
      </w:r>
    </w:p>
    <w:p>
      <w:pPr>
        <w:pStyle w:val="ListParagraph"/>
        <w:numPr>
          <w:ilvl w:val="0"/>
          <w:numId w:val="2"/>
        </w:numPr>
        <w:spacing w:after="120"/>
      </w:pPr>
      <w:r>
        <w:rPr>
          <w:rFonts w:ascii="Calibri" w:cs="Calibri" w:eastAsia="Calibri" w:hAnsi="Calibri"/>
          <w:color w:val="1C1F24"/>
          <w:sz w:val="22"/>
          <w:szCs w:val="22"/>
        </w:rPr>
        <w:t xml:space="preserve">Confirm your post-settlement address and plan for redirecting mail and updating utilities.</w:t>
      </w:r>
    </w:p>
    <w:p>
      <w:pPr>
        <w:spacing w:after="180"/>
      </w:pPr>
    </w:p>
    <w:p>
      <w:pPr>
        <w:pBdr>
          <w:bottom w:val="single" w:color="D9D2C3" w:sz="4"/>
        </w:pBdr>
        <w:spacing w:after="180" w:before="180"/>
      </w:pPr>
    </w:p>
    <w:p>
      <w:pPr>
        <w:spacing w:after="80"/>
      </w:pPr>
    </w:p>
    <w:p>
      <w:pPr>
        <w:pBdr>
          <w:bottom w:val="single" w:color="C7B694" w:sz="4" w:space="4"/>
        </w:pBdr>
        <w:spacing w:after="130" w:before="0"/>
      </w:pPr>
      <w:r>
        <w:rPr>
          <w:rFonts w:ascii="Cormorant Garamond" w:cs="Cormorant Garamond" w:eastAsia="Cormorant Garamond" w:hAnsi="Cormorant Garamond"/>
          <w:color w:val="22303B"/>
          <w:sz w:val="30"/>
          <w:szCs w:val="30"/>
        </w:rPr>
        <w:t xml:space="preserve">Ready to Prepare Your Sale?</w:t>
      </w:r>
    </w:p>
    <w:p>
      <w:pPr>
        <w:spacing w:after="140"/>
      </w:pPr>
      <w:r>
        <w:rPr>
          <w:rFonts w:ascii="Calibri" w:cs="Calibri" w:eastAsia="Calibri" w:hAnsi="Calibri"/>
          <w:color w:val="1C1F24"/>
          <w:sz w:val="22"/>
          <w:szCs w:val="22"/>
        </w:rPr>
        <w:t xml:space="preserve">This checklist covers the general preparation steps — but your specific sale may have additional requirements depending on the property, your circumstances, and the contract terms that are right for your situation. We can walk you through all of it.</w:t>
      </w:r>
    </w:p>
    <w:p>
      <w:pPr>
        <w:spacing w:after="120"/>
      </w:pPr>
      <w:r>
        <w:rPr>
          <w:rFonts w:ascii="Calibri" w:cs="Calibri" w:eastAsia="Calibri" w:hAnsi="Calibri"/>
          <w:color w:val="1C1F24"/>
          <w:sz w:val="22"/>
          <w:szCs w:val="22"/>
        </w:rPr>
        <w:t xml:space="preserve">Quintess Property Law provides premium conveyancing and property-law guidance for sellers across Tasmania, with a fully digital process for clients anywhere else.</w:t>
      </w:r>
    </w:p>
    <w:p>
      <w:pPr>
        <w:spacing w:after="120"/>
      </w:pPr>
    </w:p>
    <w:p>
      <w:pPr>
        <w:spacing w:after="40"/>
      </w:pPr>
      <w:r>
        <w:rPr>
          <w:rFonts w:ascii="Cormorant Garamond" w:cs="Cormorant Garamond" w:eastAsia="Cormorant Garamond" w:hAnsi="Cormorant Garamond"/>
          <w:b/>
          <w:bCs/>
          <w:color w:val="2F6D73"/>
          <w:sz w:val="26"/>
          <w:szCs w:val="26"/>
        </w:rPr>
        <w:t xml:space="preserve">Request a Seller Quote  /  Book a Fit Call</w:t>
      </w:r>
    </w:p>
    <w:p>
      <w:r>
        <w:rPr>
          <w:rFonts w:ascii="Calibri" w:cs="Calibri" w:eastAsia="Calibri" w:hAnsi="Calibri"/>
          <w:color w:val="5D6A75"/>
          <w:sz w:val="20"/>
          <w:szCs w:val="20"/>
        </w:rPr>
        <w:t xml:space="preserve">hello@quintesspropertylaw.com.au   ·   (07) 0000 0000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2C3" w:sz="4" w:space="6"/>
      </w:pBdr>
      <w:tabs>
        <w:tab w:val="right" w:pos="9026"/>
      </w:tabs>
    </w:pPr>
    <w:r>
      <w:rPr>
        <w:rFonts w:ascii="Calibri" w:cs="Calibri" w:eastAsia="Calibri" w:hAnsi="Calibri"/>
        <w:i/>
        <w:iCs/>
        <w:color w:val="5D6A75"/>
        <w:sz w:val="14"/>
        <w:szCs w:val="14"/>
      </w:rPr>
      <w:t xml:space="preserve">Clarity. Certainty. Settlement.</w:t>
    </w:r>
    <w:r>
      <w:rPr>
        <w:rFonts w:ascii="Calibri" w:cs="Calibri" w:eastAsia="Calibri" w:hAnsi="Calibri"/>
        <w:color w:val="5D6A75"/>
        <w:sz w:val="14"/>
        <w:szCs w:val="14"/>
      </w:rPr>
      <w:t xml:space="preserve">	Page </w:t>
    </w:r>
    <w:r>
      <w:rPr>
        <w:rFonts w:ascii="Calibri" w:cs="Calibri" w:eastAsia="Calibri" w:hAnsi="Calibri"/>
        <w:color w:val="5D6A7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B694" w:sz="4" w:space="6"/>
      </w:pBdr>
      <w:tabs>
        <w:tab w:val="right" w:pos="9026"/>
      </w:tabs>
    </w:pPr>
    <w:r>
      <w:rPr>
        <w:rFonts w:ascii="Cormorant Garamond" w:cs="Cormorant Garamond" w:eastAsia="Cormorant Garamond" w:hAnsi="Cormorant Garamond"/>
        <w:b/>
        <w:bCs/>
        <w:color w:val="22303B"/>
        <w:spacing w:val="20"/>
        <w:sz w:val="20"/>
        <w:szCs w:val="20"/>
      </w:rPr>
      <w:t xml:space="preserve">QUINTESS</w:t>
    </w:r>
    <w:r>
      <w:rPr>
        <w:rFonts w:ascii="Calibri" w:cs="Calibri" w:eastAsia="Calibri" w:hAnsi="Calibri"/>
        <w:color w:val="5D6A75"/>
        <w:spacing w:val="16"/>
        <w:sz w:val="14"/>
        <w:szCs w:val="14"/>
      </w:rPr>
      <w:t xml:space="preserve">  PROPERTY LAW</w:t>
    </w:r>
    <w:r>
      <w:rPr>
        <w:rFonts w:ascii="Calibri" w:cs="Calibri" w:eastAsia="Calibri" w:hAnsi="Calibri"/>
        <w:color w:val="5D6A75"/>
        <w:spacing w:val="12"/>
        <w:sz w:val="14"/>
        <w:szCs w:val="14"/>
      </w:rPr>
      <w:t xml:space="preserve">	SELLER PREPARATION CHECKLIST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320"/>
      </w:pPr>
      <w:rPr>
        <w:b/>
        <w:bCs/>
        <w:color w:val="2F6D73"/>
        <w:sz w:val="22"/>
        <w:szCs w:val="2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C1F24"/>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2026-07-07T06:37:14.994Z</dcterms:created>
  <dcterms:modified xsi:type="dcterms:W3CDTF">2026-07-07T06:37:15.011Z</dcterms:modified>
</cp:coreProperties>
</file>

<file path=docProps/custom.xml><?xml version="1.0" encoding="utf-8"?>
<Properties xmlns="http://schemas.openxmlformats.org/officeDocument/2006/custom-properties" xmlns:vt="http://schemas.openxmlformats.org/officeDocument/2006/docPropsVTypes"/>
</file>